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02" w:rsidRPr="00516AE0" w:rsidRDefault="00821C02" w:rsidP="00821C02">
      <w:pPr>
        <w:jc w:val="right"/>
        <w:rPr>
          <w:rFonts w:ascii="Cambria" w:hAnsi="Cambria"/>
          <w:sz w:val="20"/>
          <w:szCs w:val="20"/>
        </w:rPr>
      </w:pPr>
    </w:p>
    <w:p w:rsidR="00397DFB" w:rsidRPr="00516AE0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516AE0">
        <w:rPr>
          <w:rFonts w:ascii="Cambria" w:hAnsi="Cambria"/>
          <w:sz w:val="20"/>
          <w:szCs w:val="20"/>
        </w:rPr>
        <w:t>В ООО «ИК «Гелиус Капитал»</w:t>
      </w:r>
    </w:p>
    <w:p w:rsidR="009C59D6" w:rsidRPr="00516AE0" w:rsidRDefault="009C59D6" w:rsidP="00821C02">
      <w:pPr>
        <w:jc w:val="right"/>
        <w:rPr>
          <w:rFonts w:ascii="Cambria" w:hAnsi="Cambria"/>
          <w:sz w:val="20"/>
          <w:szCs w:val="20"/>
        </w:rPr>
      </w:pPr>
    </w:p>
    <w:p w:rsidR="00821C02" w:rsidRPr="00516AE0" w:rsidRDefault="00821C02" w:rsidP="00821C02">
      <w:pPr>
        <w:jc w:val="right"/>
        <w:rPr>
          <w:rFonts w:ascii="Cambria" w:hAnsi="Cambria"/>
          <w:sz w:val="20"/>
          <w:szCs w:val="20"/>
        </w:rPr>
      </w:pPr>
    </w:p>
    <w:p w:rsidR="00821C02" w:rsidRPr="00516AE0" w:rsidRDefault="009C59D6" w:rsidP="00821C02">
      <w:pPr>
        <w:jc w:val="center"/>
        <w:rPr>
          <w:rFonts w:ascii="Cambria" w:hAnsi="Cambria"/>
          <w:b/>
        </w:rPr>
      </w:pPr>
      <w:r w:rsidRPr="00516AE0">
        <w:rPr>
          <w:rFonts w:ascii="Cambria" w:hAnsi="Cambria"/>
          <w:b/>
        </w:rPr>
        <w:t>ПОРУЧЕНИЕ</w:t>
      </w:r>
      <w:r w:rsidR="00821C02" w:rsidRPr="00516AE0">
        <w:rPr>
          <w:rFonts w:ascii="Cambria" w:hAnsi="Cambria"/>
          <w:b/>
        </w:rPr>
        <w:t xml:space="preserve"> / THE ORDER</w:t>
      </w:r>
    </w:p>
    <w:p w:rsidR="009C59D6" w:rsidRPr="00516AE0" w:rsidRDefault="00CE5AF5" w:rsidP="00821C02">
      <w:pPr>
        <w:jc w:val="center"/>
        <w:rPr>
          <w:rFonts w:ascii="Cambria" w:hAnsi="Cambria"/>
          <w:b/>
        </w:rPr>
      </w:pPr>
      <w:r w:rsidRPr="00516AE0">
        <w:rPr>
          <w:rFonts w:ascii="Cambria" w:hAnsi="Cambria"/>
          <w:b/>
        </w:rPr>
        <w:t>на перевод денежных средств</w:t>
      </w:r>
      <w:r w:rsidR="00821C02" w:rsidRPr="00516AE0">
        <w:rPr>
          <w:rFonts w:ascii="Cambria" w:hAnsi="Cambria"/>
          <w:b/>
        </w:rPr>
        <w:t xml:space="preserve"> / </w:t>
      </w:r>
      <w:r w:rsidR="009C59D6" w:rsidRPr="00516AE0">
        <w:rPr>
          <w:rFonts w:ascii="Cambria" w:hAnsi="Cambria"/>
          <w:b/>
          <w:lang w:val="en-US"/>
        </w:rPr>
        <w:t>onmoneytransfer</w:t>
      </w:r>
    </w:p>
    <w:p w:rsidR="009C59D6" w:rsidRPr="00516AE0" w:rsidRDefault="009C59D6">
      <w:pPr>
        <w:rPr>
          <w:rFonts w:ascii="Cambria" w:hAnsi="Cambria"/>
          <w:sz w:val="20"/>
          <w:szCs w:val="20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5670"/>
      </w:tblGrid>
      <w:tr w:rsidR="00516AE0" w:rsidRPr="00CF679E" w:rsidTr="0097629D">
        <w:trPr>
          <w:trHeight w:val="567"/>
        </w:trPr>
        <w:tc>
          <w:tcPr>
            <w:tcW w:w="3686" w:type="dxa"/>
            <w:vAlign w:val="center"/>
          </w:tcPr>
          <w:p w:rsidR="00EC5333" w:rsidRDefault="00EC5333" w:rsidP="00EC5333">
            <w:pPr>
              <w:rPr>
                <w:rFonts w:ascii="Cambria" w:hAnsi="Cambria"/>
                <w:sz w:val="20"/>
                <w:szCs w:val="20"/>
              </w:rPr>
            </w:pPr>
            <w:r w:rsidRPr="00035FA3">
              <w:rPr>
                <w:rFonts w:ascii="Cambria" w:hAnsi="Cambria"/>
                <w:sz w:val="20"/>
                <w:szCs w:val="20"/>
              </w:rPr>
              <w:t xml:space="preserve">Клиент / </w:t>
            </w:r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Client</w:t>
            </w:r>
            <w:r w:rsidRPr="00035FA3">
              <w:rPr>
                <w:rFonts w:ascii="Cambria" w:hAnsi="Cambria"/>
                <w:sz w:val="20"/>
                <w:szCs w:val="20"/>
              </w:rPr>
              <w:t>:</w:t>
            </w:r>
          </w:p>
          <w:p w:rsidR="00516AE0" w:rsidRPr="00CF679E" w:rsidRDefault="00EC5333" w:rsidP="00EC5333">
            <w:pPr>
              <w:rPr>
                <w:rFonts w:ascii="Cambria" w:hAnsi="Cambria"/>
                <w:sz w:val="20"/>
                <w:szCs w:val="20"/>
              </w:rPr>
            </w:pPr>
            <w:r w:rsidRPr="0091137C">
              <w:rPr>
                <w:rFonts w:ascii="Cambria" w:hAnsi="Cambria"/>
                <w:sz w:val="20"/>
                <w:szCs w:val="20"/>
              </w:rPr>
              <w:t>(Ф.И.О. / наименование</w:t>
            </w:r>
            <w:r>
              <w:rPr>
                <w:rFonts w:ascii="Cambria" w:hAnsi="Cambria"/>
                <w:sz w:val="20"/>
                <w:szCs w:val="20"/>
              </w:rPr>
              <w:t xml:space="preserve"> / код клиента</w:t>
            </w:r>
            <w:r w:rsidRPr="0091137C">
              <w:rPr>
                <w:rFonts w:ascii="Cambria" w:hAnsi="Cambria"/>
                <w:sz w:val="20"/>
                <w:szCs w:val="20"/>
              </w:rPr>
              <w:t xml:space="preserve">) </w:t>
            </w:r>
            <w:r w:rsidRPr="00035FA3">
              <w:rPr>
                <w:rFonts w:ascii="Cambria" w:hAnsi="Cambria"/>
                <w:sz w:val="20"/>
                <w:szCs w:val="20"/>
              </w:rPr>
              <w:t>/ (</w:t>
            </w:r>
            <w:proofErr w:type="spellStart"/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fullname</w:t>
            </w:r>
            <w:proofErr w:type="spellEnd"/>
            <w:r w:rsidRPr="001A7FD6">
              <w:rPr>
                <w:rFonts w:ascii="Cambria" w:hAnsi="Cambria"/>
                <w:sz w:val="20"/>
                <w:szCs w:val="20"/>
              </w:rPr>
              <w:t xml:space="preserve"> /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identification</w:t>
            </w:r>
            <w:r w:rsidRPr="001A7FD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code</w:t>
            </w:r>
            <w:r w:rsidRPr="001A7FD6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70" w:type="dxa"/>
            <w:vAlign w:val="center"/>
          </w:tcPr>
          <w:p w:rsidR="00516AE0" w:rsidRPr="00CF679E" w:rsidRDefault="00516AE0" w:rsidP="0097629D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516AE0" w:rsidRPr="00CF679E" w:rsidRDefault="00516AE0" w:rsidP="0097629D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516AE0" w:rsidRPr="00EC5333" w:rsidTr="0097629D">
        <w:trPr>
          <w:trHeight w:val="567"/>
        </w:trPr>
        <w:tc>
          <w:tcPr>
            <w:tcW w:w="3686" w:type="dxa"/>
            <w:vAlign w:val="center"/>
          </w:tcPr>
          <w:p w:rsidR="00516AE0" w:rsidRPr="00CF679E" w:rsidRDefault="00516AE0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CF679E">
              <w:rPr>
                <w:rFonts w:ascii="Cambria" w:hAnsi="Cambria"/>
                <w:sz w:val="20"/>
                <w:szCs w:val="20"/>
              </w:rPr>
              <w:t>договора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CF679E">
              <w:rPr>
                <w:rFonts w:ascii="Cambria" w:hAnsi="Cambria"/>
                <w:sz w:val="20"/>
                <w:szCs w:val="20"/>
              </w:rPr>
              <w:t>брокерского</w:t>
            </w:r>
            <w:r w:rsidR="00E41D5E" w:rsidRPr="00EC5333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CF679E">
              <w:rPr>
                <w:rFonts w:ascii="Cambria" w:hAnsi="Cambria"/>
                <w:sz w:val="20"/>
                <w:szCs w:val="20"/>
              </w:rPr>
              <w:t>счета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  <w:p w:rsidR="00516AE0" w:rsidRPr="00E41D5E" w:rsidRDefault="00516AE0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No. of Contract (brokerage account)</w:t>
            </w:r>
            <w:r w:rsidR="00E41D5E" w:rsidRPr="00E41D5E">
              <w:rPr>
                <w:rFonts w:ascii="Cambria" w:hAnsi="Cambria"/>
                <w:sz w:val="20"/>
                <w:szCs w:val="20"/>
                <w:lang w:val="en-US"/>
              </w:rPr>
              <w:t>*</w:t>
            </w:r>
          </w:p>
        </w:tc>
        <w:tc>
          <w:tcPr>
            <w:tcW w:w="5670" w:type="dxa"/>
            <w:vAlign w:val="center"/>
          </w:tcPr>
          <w:p w:rsidR="00516AE0" w:rsidRPr="00CF679E" w:rsidRDefault="00516AE0" w:rsidP="0097629D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516AE0" w:rsidRPr="00CF679E" w:rsidRDefault="00516AE0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</w:tbl>
    <w:p w:rsidR="00E02DD4" w:rsidRPr="00516AE0" w:rsidRDefault="00E02DD4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0" w:type="auto"/>
        <w:tblLook w:val="04A0"/>
      </w:tblPr>
      <w:tblGrid>
        <w:gridCol w:w="3115"/>
        <w:gridCol w:w="3115"/>
        <w:gridCol w:w="3115"/>
      </w:tblGrid>
      <w:tr w:rsidR="009C59D6" w:rsidRPr="00516AE0" w:rsidTr="00516AE0">
        <w:tc>
          <w:tcPr>
            <w:tcW w:w="3115" w:type="dxa"/>
            <w:tcBorders>
              <w:bottom w:val="nil"/>
            </w:tcBorders>
          </w:tcPr>
          <w:p w:rsidR="00CE5AF5" w:rsidRPr="00E41D5E" w:rsidRDefault="009C59D6" w:rsidP="00CE5AF5">
            <w:pPr>
              <w:pStyle w:val="a3"/>
              <w:jc w:val="center"/>
              <w:rPr>
                <w:rFonts w:ascii="Cambria" w:hAnsi="Cambria"/>
                <w:b/>
              </w:rPr>
            </w:pPr>
            <w:r w:rsidRPr="00516AE0">
              <w:rPr>
                <w:rFonts w:ascii="Cambria" w:hAnsi="Cambria"/>
                <w:b/>
              </w:rPr>
              <w:t>Списать со счета</w:t>
            </w:r>
            <w:r w:rsidR="00DD6F85">
              <w:rPr>
                <w:rFonts w:ascii="Cambria" w:hAnsi="Cambria"/>
                <w:b/>
                <w:lang w:val="en-US"/>
              </w:rPr>
              <w:t xml:space="preserve"> *</w:t>
            </w:r>
            <w:r w:rsidR="00E41D5E">
              <w:rPr>
                <w:rFonts w:ascii="Cambria" w:hAnsi="Cambria"/>
                <w:b/>
              </w:rPr>
              <w:t>*</w:t>
            </w:r>
          </w:p>
        </w:tc>
        <w:tc>
          <w:tcPr>
            <w:tcW w:w="3115" w:type="dxa"/>
            <w:tcBorders>
              <w:bottom w:val="nil"/>
            </w:tcBorders>
          </w:tcPr>
          <w:p w:rsidR="00CE5AF5" w:rsidRPr="00516AE0" w:rsidRDefault="00CE5AF5" w:rsidP="00CE5AF5">
            <w:pPr>
              <w:pStyle w:val="a3"/>
              <w:jc w:val="center"/>
              <w:rPr>
                <w:rFonts w:ascii="Cambria" w:hAnsi="Cambria"/>
                <w:b/>
              </w:rPr>
            </w:pPr>
            <w:r w:rsidRPr="00516AE0">
              <w:rPr>
                <w:rFonts w:ascii="Cambria" w:hAnsi="Cambria"/>
                <w:b/>
              </w:rPr>
              <w:t>Сумма</w:t>
            </w:r>
          </w:p>
        </w:tc>
        <w:tc>
          <w:tcPr>
            <w:tcW w:w="3115" w:type="dxa"/>
            <w:tcBorders>
              <w:bottom w:val="nil"/>
            </w:tcBorders>
          </w:tcPr>
          <w:p w:rsidR="00CE5AF5" w:rsidRPr="00E41D5E" w:rsidRDefault="009C59D6" w:rsidP="00CE5AF5">
            <w:pPr>
              <w:pStyle w:val="a3"/>
              <w:jc w:val="center"/>
              <w:rPr>
                <w:rFonts w:ascii="Cambria" w:hAnsi="Cambria"/>
                <w:b/>
              </w:rPr>
            </w:pPr>
            <w:r w:rsidRPr="00516AE0">
              <w:rPr>
                <w:rFonts w:ascii="Cambria" w:hAnsi="Cambria"/>
                <w:b/>
              </w:rPr>
              <w:t>Зачислить на счет</w:t>
            </w:r>
            <w:r w:rsidR="00DD6F85">
              <w:rPr>
                <w:rFonts w:ascii="Cambria" w:hAnsi="Cambria"/>
                <w:b/>
                <w:lang w:val="en-US"/>
              </w:rPr>
              <w:t xml:space="preserve"> *</w:t>
            </w:r>
            <w:r w:rsidR="00E41D5E">
              <w:rPr>
                <w:rFonts w:ascii="Cambria" w:hAnsi="Cambria"/>
                <w:b/>
              </w:rPr>
              <w:t>*</w:t>
            </w:r>
          </w:p>
        </w:tc>
      </w:tr>
      <w:tr w:rsidR="00CE5AF5" w:rsidRPr="00EC5333" w:rsidTr="00516AE0">
        <w:tc>
          <w:tcPr>
            <w:tcW w:w="3115" w:type="dxa"/>
            <w:tcBorders>
              <w:top w:val="nil"/>
            </w:tcBorders>
          </w:tcPr>
          <w:p w:rsidR="00CE5AF5" w:rsidRPr="00516AE0" w:rsidRDefault="00CE5AF5" w:rsidP="00665247">
            <w:pPr>
              <w:pStyle w:val="a3"/>
              <w:jc w:val="center"/>
              <w:rPr>
                <w:rFonts w:ascii="Cambria" w:hAnsi="Cambria"/>
                <w:b/>
                <w:lang w:val="en-US"/>
              </w:rPr>
            </w:pPr>
            <w:r w:rsidRPr="00516AE0">
              <w:rPr>
                <w:rFonts w:ascii="Cambria" w:hAnsi="Cambria"/>
                <w:b/>
                <w:lang w:val="en-US"/>
              </w:rPr>
              <w:t>To write off from the account</w:t>
            </w:r>
          </w:p>
        </w:tc>
        <w:tc>
          <w:tcPr>
            <w:tcW w:w="3115" w:type="dxa"/>
            <w:tcBorders>
              <w:top w:val="nil"/>
            </w:tcBorders>
          </w:tcPr>
          <w:p w:rsidR="00CE5AF5" w:rsidRPr="00516AE0" w:rsidRDefault="00CE5AF5" w:rsidP="00665247">
            <w:pPr>
              <w:pStyle w:val="a3"/>
              <w:jc w:val="center"/>
              <w:rPr>
                <w:rFonts w:ascii="Cambria" w:hAnsi="Cambria"/>
                <w:b/>
                <w:lang w:val="en-US"/>
              </w:rPr>
            </w:pPr>
            <w:r w:rsidRPr="00516AE0">
              <w:rPr>
                <w:rFonts w:ascii="Cambria" w:hAnsi="Cambria"/>
                <w:b/>
                <w:lang w:val="en-US"/>
              </w:rPr>
              <w:t>The Sum</w:t>
            </w:r>
          </w:p>
        </w:tc>
        <w:tc>
          <w:tcPr>
            <w:tcW w:w="3115" w:type="dxa"/>
            <w:tcBorders>
              <w:top w:val="nil"/>
            </w:tcBorders>
          </w:tcPr>
          <w:p w:rsidR="00CE5AF5" w:rsidRPr="00516AE0" w:rsidRDefault="00CE5AF5" w:rsidP="00665247">
            <w:pPr>
              <w:pStyle w:val="a3"/>
              <w:jc w:val="center"/>
              <w:rPr>
                <w:rFonts w:ascii="Cambria" w:hAnsi="Cambria"/>
                <w:b/>
                <w:lang w:val="en-US"/>
              </w:rPr>
            </w:pPr>
            <w:r w:rsidRPr="00516AE0">
              <w:rPr>
                <w:rFonts w:ascii="Cambria" w:hAnsi="Cambria"/>
                <w:b/>
                <w:lang w:val="en-US"/>
              </w:rPr>
              <w:t>To pay into the account</w:t>
            </w:r>
          </w:p>
        </w:tc>
      </w:tr>
      <w:tr w:rsidR="009C59D6" w:rsidRPr="00EC5333" w:rsidTr="00516AE0">
        <w:tc>
          <w:tcPr>
            <w:tcW w:w="3115" w:type="dxa"/>
          </w:tcPr>
          <w:p w:rsidR="009C59D6" w:rsidRPr="00516AE0" w:rsidRDefault="009C59D6" w:rsidP="00665247">
            <w:pPr>
              <w:pStyle w:val="a3"/>
              <w:spacing w:before="240"/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:rsidR="009C59D6" w:rsidRPr="00516AE0" w:rsidRDefault="009C59D6" w:rsidP="00665247">
            <w:pPr>
              <w:pStyle w:val="a3"/>
              <w:spacing w:before="240"/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:rsidR="009C59D6" w:rsidRPr="00516AE0" w:rsidRDefault="009C59D6" w:rsidP="00665247">
            <w:pPr>
              <w:pStyle w:val="a3"/>
              <w:spacing w:before="240"/>
              <w:rPr>
                <w:rFonts w:ascii="Cambria" w:hAnsi="Cambria"/>
                <w:lang w:val="en-US"/>
              </w:rPr>
            </w:pPr>
          </w:p>
        </w:tc>
      </w:tr>
    </w:tbl>
    <w:p w:rsidR="00E41D5E" w:rsidRDefault="00E41D5E" w:rsidP="00DD6F85">
      <w:pPr>
        <w:jc w:val="both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*При необходимости перевода денежных средств с одного брокерского счета на другой брокерский счет необходимо указать оба номера договора (брокерского  счета) в следующем порядке:</w:t>
      </w:r>
    </w:p>
    <w:p w:rsidR="00E41D5E" w:rsidRDefault="00E41D5E" w:rsidP="00DD6F85">
      <w:pPr>
        <w:jc w:val="both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1. номер договора (брокерского счета), с которого списываются денежные средства; </w:t>
      </w:r>
    </w:p>
    <w:p w:rsidR="00E41D5E" w:rsidRDefault="00E41D5E" w:rsidP="00DD6F85">
      <w:pPr>
        <w:jc w:val="both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2. номер договора (брокерского счета), на который должны быть зачислены денежные средства.</w:t>
      </w:r>
    </w:p>
    <w:p w:rsidR="00DD6F85" w:rsidRPr="00DD6F85" w:rsidRDefault="00DD6F85" w:rsidP="00DD6F85">
      <w:pPr>
        <w:jc w:val="both"/>
        <w:rPr>
          <w:rFonts w:ascii="Cambria" w:hAnsi="Cambria"/>
          <w:i/>
          <w:sz w:val="16"/>
          <w:szCs w:val="16"/>
        </w:rPr>
      </w:pPr>
      <w:r w:rsidRPr="00DD6F85">
        <w:rPr>
          <w:rFonts w:ascii="Cambria" w:hAnsi="Cambria"/>
          <w:i/>
          <w:sz w:val="16"/>
          <w:szCs w:val="16"/>
        </w:rPr>
        <w:t>*</w:t>
      </w:r>
      <w:r w:rsidR="00E41D5E">
        <w:rPr>
          <w:rFonts w:ascii="Cambria" w:hAnsi="Cambria"/>
          <w:i/>
          <w:sz w:val="16"/>
          <w:szCs w:val="16"/>
        </w:rPr>
        <w:t>*</w:t>
      </w:r>
      <w:r w:rsidRPr="00DD6F85">
        <w:rPr>
          <w:rFonts w:ascii="Cambria" w:hAnsi="Cambria"/>
          <w:i/>
          <w:sz w:val="16"/>
          <w:szCs w:val="16"/>
        </w:rPr>
        <w:t>Указывается счет, с которого должны быть списаны/ на который должны быть зачислены денежные средства, например</w:t>
      </w:r>
      <w:r w:rsidR="00FA477D">
        <w:rPr>
          <w:rFonts w:ascii="Cambria" w:hAnsi="Cambria"/>
          <w:i/>
          <w:sz w:val="16"/>
          <w:szCs w:val="16"/>
        </w:rPr>
        <w:t>,</w:t>
      </w:r>
      <w:r w:rsidRPr="00DD6F85">
        <w:rPr>
          <w:rFonts w:ascii="Cambria" w:hAnsi="Cambria"/>
          <w:i/>
          <w:sz w:val="16"/>
          <w:szCs w:val="16"/>
        </w:rPr>
        <w:t xml:space="preserve"> специальный брокерский счет, открытый в Организации (у другого проф. участника, через которого Организация совершает сделки в интересах клиентов); счет, открытый в расчетной организации ММВБ, иных расчетных организациях</w:t>
      </w:r>
    </w:p>
    <w:p w:rsidR="00DD6F85" w:rsidRPr="00DD6F85" w:rsidRDefault="00DD6F85" w:rsidP="00DD6F85">
      <w:pPr>
        <w:jc w:val="both"/>
        <w:rPr>
          <w:rFonts w:ascii="Cambria" w:hAnsi="Cambria"/>
          <w:i/>
          <w:sz w:val="16"/>
          <w:szCs w:val="16"/>
          <w:lang w:val="en-US"/>
        </w:rPr>
      </w:pPr>
      <w:r w:rsidRPr="00DD6F85">
        <w:rPr>
          <w:rFonts w:ascii="Cambria" w:hAnsi="Cambria"/>
          <w:i/>
          <w:sz w:val="16"/>
          <w:szCs w:val="16"/>
          <w:lang w:val="en-US"/>
        </w:rPr>
        <w:t>The account from which money resources should be written off / into which money resources should be paid is underlined, for example</w:t>
      </w:r>
      <w:r w:rsidR="00FA477D" w:rsidRPr="00FA477D">
        <w:rPr>
          <w:rFonts w:ascii="Cambria" w:hAnsi="Cambria"/>
          <w:i/>
          <w:sz w:val="16"/>
          <w:szCs w:val="16"/>
          <w:lang w:val="en-US"/>
        </w:rPr>
        <w:t>,</w:t>
      </w:r>
      <w:r w:rsidRPr="00DD6F85">
        <w:rPr>
          <w:rFonts w:ascii="Cambria" w:hAnsi="Cambria"/>
          <w:i/>
          <w:sz w:val="16"/>
          <w:szCs w:val="16"/>
          <w:lang w:val="en-US"/>
        </w:rPr>
        <w:t xml:space="preserve"> the special broker's account opened in the Organization (at another Organization through which the Organization makes bargains in interests of clients); the account opened in the settlement organization of the Moscow Interbank Stock Exchange, other settlement organizations</w:t>
      </w:r>
    </w:p>
    <w:p w:rsidR="00DD6F85" w:rsidRPr="00516AE0" w:rsidRDefault="00DD6F85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516AE0" w:rsidRPr="00E41D5E" w:rsidTr="0097629D">
        <w:trPr>
          <w:trHeight w:val="567"/>
        </w:trPr>
        <w:tc>
          <w:tcPr>
            <w:tcW w:w="3652" w:type="dxa"/>
            <w:vAlign w:val="center"/>
          </w:tcPr>
          <w:p w:rsidR="00516AE0" w:rsidRPr="00E41D5E" w:rsidRDefault="00516AE0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Срок</w:t>
            </w:r>
            <w:r w:rsidRPr="00E41D5E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E21A24">
              <w:rPr>
                <w:rFonts w:ascii="Cambria" w:hAnsi="Cambria"/>
                <w:sz w:val="20"/>
                <w:szCs w:val="20"/>
              </w:rPr>
              <w:t>действия</w:t>
            </w:r>
            <w:r w:rsidR="00E41D5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9562A">
              <w:rPr>
                <w:rFonts w:ascii="Cambria" w:hAnsi="Cambria"/>
                <w:sz w:val="20"/>
                <w:szCs w:val="20"/>
              </w:rPr>
              <w:t>поручения</w:t>
            </w:r>
          </w:p>
          <w:p w:rsidR="00516AE0" w:rsidRPr="0069562A" w:rsidRDefault="00516AE0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Validity of the order</w:t>
            </w:r>
          </w:p>
        </w:tc>
        <w:tc>
          <w:tcPr>
            <w:tcW w:w="5670" w:type="dxa"/>
            <w:vAlign w:val="center"/>
          </w:tcPr>
          <w:p w:rsidR="00516AE0" w:rsidRPr="00E41D5E" w:rsidRDefault="00516AE0" w:rsidP="0097629D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516AE0" w:rsidRPr="00E41D5E" w:rsidRDefault="00516AE0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E41D5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  <w:tr w:rsidR="00516AE0" w:rsidRPr="0069562A" w:rsidTr="0097629D">
        <w:trPr>
          <w:trHeight w:val="567"/>
        </w:trPr>
        <w:tc>
          <w:tcPr>
            <w:tcW w:w="3652" w:type="dxa"/>
            <w:vAlign w:val="center"/>
          </w:tcPr>
          <w:p w:rsidR="00516AE0" w:rsidRPr="0069562A" w:rsidRDefault="00516AE0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Дополнительная информация</w:t>
            </w:r>
          </w:p>
          <w:p w:rsidR="00516AE0" w:rsidRPr="0069562A" w:rsidRDefault="00516AE0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Other information</w:t>
            </w:r>
          </w:p>
        </w:tc>
        <w:tc>
          <w:tcPr>
            <w:tcW w:w="5670" w:type="dxa"/>
            <w:vAlign w:val="center"/>
          </w:tcPr>
          <w:p w:rsidR="00516AE0" w:rsidRPr="0069562A" w:rsidRDefault="00516AE0" w:rsidP="0097629D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516AE0" w:rsidRPr="0069562A" w:rsidRDefault="00516AE0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516AE0" w:rsidRPr="0069562A" w:rsidTr="0097629D">
        <w:trPr>
          <w:trHeight w:val="567"/>
        </w:trPr>
        <w:tc>
          <w:tcPr>
            <w:tcW w:w="3652" w:type="dxa"/>
            <w:vAlign w:val="center"/>
          </w:tcPr>
          <w:p w:rsidR="00516AE0" w:rsidRPr="0069562A" w:rsidRDefault="00516AE0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516AE0" w:rsidRPr="000C6DCE" w:rsidRDefault="00516AE0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16AE0" w:rsidRPr="0069562A" w:rsidTr="0097629D">
        <w:trPr>
          <w:trHeight w:val="567"/>
        </w:trPr>
        <w:tc>
          <w:tcPr>
            <w:tcW w:w="3652" w:type="dxa"/>
            <w:vAlign w:val="center"/>
          </w:tcPr>
          <w:p w:rsidR="00516AE0" w:rsidRPr="0069562A" w:rsidRDefault="00516AE0" w:rsidP="0097629D">
            <w:pPr>
              <w:pStyle w:val="a3"/>
              <w:rPr>
                <w:rFonts w:ascii="Cambria" w:hAnsi="Cambria"/>
                <w:lang w:val="en-US"/>
              </w:rPr>
            </w:pPr>
            <w:r w:rsidRPr="0069562A">
              <w:rPr>
                <w:rFonts w:ascii="Cambria" w:hAnsi="Cambria"/>
                <w:b/>
              </w:rPr>
              <w:t>Клиент</w:t>
            </w:r>
            <w:r w:rsidRPr="0069562A">
              <w:rPr>
                <w:rFonts w:ascii="Cambria" w:hAnsi="Cambria"/>
                <w:b/>
                <w:lang w:val="en-US"/>
              </w:rPr>
              <w:t xml:space="preserve"> (</w:t>
            </w:r>
            <w:r w:rsidRPr="0069562A">
              <w:rPr>
                <w:rFonts w:ascii="Cambria" w:hAnsi="Cambria"/>
                <w:b/>
              </w:rPr>
              <w:t>уполномоченноелицо</w:t>
            </w:r>
            <w:r w:rsidRPr="0069562A">
              <w:rPr>
                <w:rFonts w:ascii="Cambria" w:hAnsi="Cambria"/>
                <w:b/>
                <w:lang w:val="en-US"/>
              </w:rPr>
              <w:t>)</w:t>
            </w:r>
          </w:p>
          <w:p w:rsidR="00516AE0" w:rsidRPr="0069562A" w:rsidRDefault="00516AE0" w:rsidP="0097629D">
            <w:pPr>
              <w:pStyle w:val="a3"/>
              <w:rPr>
                <w:rFonts w:ascii="Cambria" w:hAnsi="Cambria"/>
                <w:b/>
                <w:lang w:val="en-US"/>
              </w:rPr>
            </w:pPr>
            <w:r w:rsidRPr="0069562A">
              <w:rPr>
                <w:rFonts w:ascii="Cambria" w:hAnsi="Cambria"/>
                <w:b/>
                <w:lang w:val="en-US"/>
              </w:rPr>
              <w:t>Client (authorized person)</w:t>
            </w:r>
          </w:p>
          <w:p w:rsidR="00516AE0" w:rsidRPr="0069562A" w:rsidRDefault="00516AE0" w:rsidP="0097629D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516AE0" w:rsidRPr="0069562A" w:rsidRDefault="000C6DCE" w:rsidP="0097629D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  <w:bookmarkStart w:id="0" w:name="_GoBack"/>
            <w:bookmarkEnd w:id="0"/>
          </w:p>
        </w:tc>
      </w:tr>
      <w:tr w:rsidR="00516AE0" w:rsidRPr="0069562A" w:rsidTr="0097629D">
        <w:trPr>
          <w:trHeight w:val="567"/>
        </w:trPr>
        <w:tc>
          <w:tcPr>
            <w:tcW w:w="3652" w:type="dxa"/>
            <w:vAlign w:val="center"/>
          </w:tcPr>
          <w:p w:rsidR="00516AE0" w:rsidRPr="0069562A" w:rsidRDefault="00516AE0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516AE0" w:rsidRPr="0069562A" w:rsidRDefault="00516AE0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МП/LS</w:t>
            </w:r>
          </w:p>
        </w:tc>
      </w:tr>
    </w:tbl>
    <w:p w:rsidR="00013E80" w:rsidRPr="00516AE0" w:rsidRDefault="00013E80" w:rsidP="009C59D6">
      <w:pPr>
        <w:rPr>
          <w:rFonts w:ascii="Cambria" w:hAnsi="Cambria"/>
          <w:sz w:val="20"/>
          <w:szCs w:val="20"/>
        </w:rPr>
      </w:pPr>
    </w:p>
    <w:sectPr w:rsidR="00013E80" w:rsidRPr="00516AE0" w:rsidSect="00DB4C27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4DB" w:rsidRDefault="001274DB" w:rsidP="00CE5AF5">
      <w:r>
        <w:separator/>
      </w:r>
    </w:p>
  </w:endnote>
  <w:endnote w:type="continuationSeparator" w:id="1">
    <w:p w:rsidR="001274DB" w:rsidRDefault="001274DB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4"/>
      <w:tblW w:w="0" w:type="auto"/>
      <w:tblLook w:val="04A0"/>
    </w:tblPr>
    <w:tblGrid>
      <w:gridCol w:w="4672"/>
      <w:gridCol w:w="4673"/>
    </w:tblGrid>
    <w:tr w:rsidR="00DD6F85" w:rsidTr="00DD6F85">
      <w:trPr>
        <w:trHeight w:val="567"/>
      </w:trPr>
      <w:tc>
        <w:tcPr>
          <w:tcW w:w="46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6F85" w:rsidRDefault="00DD6F85" w:rsidP="00DD6F85">
          <w:pPr>
            <w:pStyle w:val="a3"/>
            <w:widowControl/>
            <w:jc w:val="both"/>
            <w:rPr>
              <w:rFonts w:ascii="Cambria" w:hAnsi="Cambria"/>
            </w:rPr>
          </w:pPr>
          <w:r>
            <w:rPr>
              <w:rFonts w:ascii="Cambria" w:hAnsi="Cambria"/>
              <w:b/>
            </w:rPr>
            <w:t>ЗАПОЛНЯЕТСЯ ООО «ИК «Гелиус Капитал»</w:t>
          </w:r>
        </w:p>
      </w:tc>
      <w:tc>
        <w:tcPr>
          <w:tcW w:w="46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6F85" w:rsidRDefault="00DD6F85" w:rsidP="00DD6F85">
          <w:pPr>
            <w:pStyle w:val="a3"/>
            <w:widowControl/>
            <w:jc w:val="both"/>
            <w:rPr>
              <w:rFonts w:ascii="Cambria" w:hAnsi="Cambria"/>
            </w:rPr>
          </w:pPr>
          <w:r>
            <w:rPr>
              <w:rFonts w:ascii="Cambria" w:hAnsi="Cambria"/>
            </w:rPr>
            <w:t>Входящий №</w:t>
          </w:r>
        </w:p>
      </w:tc>
    </w:tr>
    <w:tr w:rsidR="00DD6F85" w:rsidTr="00DD6F85">
      <w:trPr>
        <w:trHeight w:val="794"/>
      </w:trPr>
      <w:tc>
        <w:tcPr>
          <w:tcW w:w="46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6F85" w:rsidRDefault="00DD6F85" w:rsidP="00DD6F85">
          <w:pPr>
            <w:pStyle w:val="a3"/>
            <w:widowControl/>
            <w:jc w:val="both"/>
            <w:rPr>
              <w:rFonts w:ascii="Cambria" w:hAnsi="Cambria"/>
            </w:rPr>
          </w:pPr>
          <w:r>
            <w:rPr>
              <w:rFonts w:ascii="Cambria" w:hAnsi="Cambria"/>
            </w:rPr>
            <w:t>ФИО/код/подпись сотрудника</w:t>
          </w:r>
        </w:p>
      </w:tc>
      <w:tc>
        <w:tcPr>
          <w:tcW w:w="46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D6F85" w:rsidRDefault="00DD6F85" w:rsidP="00DD6F85">
          <w:pPr>
            <w:pStyle w:val="a3"/>
            <w:widowControl/>
            <w:jc w:val="both"/>
            <w:rPr>
              <w:rFonts w:ascii="Cambria" w:hAnsi="Cambria"/>
            </w:rPr>
          </w:pPr>
          <w:r>
            <w:rPr>
              <w:rFonts w:ascii="Cambria" w:hAnsi="Cambria"/>
            </w:rPr>
            <w:t>Дата и время получения</w:t>
          </w:r>
        </w:p>
      </w:tc>
    </w:tr>
  </w:tbl>
  <w:p w:rsidR="00DD6F85" w:rsidRDefault="00DD6F85" w:rsidP="00DD6F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4DB" w:rsidRDefault="001274DB" w:rsidP="00CE5AF5">
      <w:r>
        <w:separator/>
      </w:r>
    </w:p>
  </w:footnote>
  <w:footnote w:type="continuationSeparator" w:id="1">
    <w:p w:rsidR="001274DB" w:rsidRDefault="001274DB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AF5" w:rsidRPr="00516AE0" w:rsidRDefault="00CE5AF5" w:rsidP="00CE5AF5">
    <w:pPr>
      <w:jc w:val="right"/>
      <w:rPr>
        <w:rFonts w:ascii="Cambria" w:hAnsi="Cambria"/>
        <w:sz w:val="16"/>
        <w:szCs w:val="16"/>
      </w:rPr>
    </w:pPr>
    <w:r w:rsidRPr="00516AE0">
      <w:rPr>
        <w:rFonts w:ascii="Cambria" w:hAnsi="Cambria"/>
        <w:sz w:val="16"/>
        <w:szCs w:val="16"/>
      </w:rPr>
      <w:t>Приложение №1</w:t>
    </w:r>
    <w:r w:rsidR="00226AAA" w:rsidRPr="00516AE0">
      <w:rPr>
        <w:rFonts w:ascii="Cambria" w:hAnsi="Cambria"/>
        <w:sz w:val="16"/>
        <w:szCs w:val="16"/>
      </w:rPr>
      <w:t>1</w:t>
    </w:r>
    <w:r w:rsidRPr="00516AE0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CE5AF5" w:rsidRPr="00516AE0" w:rsidRDefault="00821C02" w:rsidP="00821C02">
    <w:pPr>
      <w:jc w:val="right"/>
      <w:rPr>
        <w:rFonts w:ascii="Cambria" w:hAnsi="Cambria"/>
        <w:sz w:val="16"/>
        <w:szCs w:val="16"/>
        <w:lang w:val="en-US"/>
      </w:rPr>
    </w:pPr>
    <w:r w:rsidRPr="00516AE0">
      <w:rPr>
        <w:rFonts w:ascii="Cambria" w:hAnsi="Cambria"/>
        <w:sz w:val="16"/>
        <w:szCs w:val="16"/>
        <w:lang w:val="en-US"/>
      </w:rPr>
      <w:t>Appendix No. 1</w:t>
    </w:r>
    <w:r w:rsidR="00226AAA" w:rsidRPr="00516AE0">
      <w:rPr>
        <w:rFonts w:ascii="Cambria" w:hAnsi="Cambria"/>
        <w:sz w:val="16"/>
        <w:szCs w:val="16"/>
        <w:lang w:val="en-US"/>
      </w:rPr>
      <w:t>1</w:t>
    </w:r>
    <w:r w:rsidRPr="00516AE0">
      <w:rPr>
        <w:rFonts w:ascii="Cambria" w:hAnsi="Cambria"/>
        <w:sz w:val="16"/>
        <w:szCs w:val="16"/>
        <w:lang w:val="en-US"/>
      </w:rPr>
      <w:t xml:space="preserve"> to the Regulations on rendering brokerage services on securities markets by LLC "IC "</w:t>
    </w:r>
    <w:proofErr w:type="spellStart"/>
    <w:r w:rsidRPr="00516AE0">
      <w:rPr>
        <w:rFonts w:ascii="Cambria" w:hAnsi="Cambria"/>
        <w:sz w:val="16"/>
        <w:szCs w:val="16"/>
        <w:lang w:val="en-US"/>
      </w:rPr>
      <w:t>Gelius</w:t>
    </w:r>
    <w:proofErr w:type="spellEnd"/>
    <w:r w:rsidRPr="00516AE0">
      <w:rPr>
        <w:rFonts w:ascii="Cambria" w:hAnsi="Cambria"/>
        <w:sz w:val="16"/>
        <w:szCs w:val="16"/>
        <w:lang w:val="en-US"/>
      </w:rPr>
      <w:t xml:space="preserve"> Capital"</w:t>
    </w:r>
  </w:p>
  <w:p w:rsidR="00C40682" w:rsidRPr="00516AE0" w:rsidRDefault="00C40682" w:rsidP="00821C02">
    <w:pPr>
      <w:jc w:val="right"/>
      <w:rPr>
        <w:rFonts w:ascii="Cambria" w:hAnsi="Cambria"/>
        <w:sz w:val="16"/>
        <w:szCs w:val="16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B20F6"/>
    <w:rsid w:val="000C6DCE"/>
    <w:rsid w:val="000E5D48"/>
    <w:rsid w:val="001274DB"/>
    <w:rsid w:val="00127F51"/>
    <w:rsid w:val="00226AAA"/>
    <w:rsid w:val="004F530B"/>
    <w:rsid w:val="00516AE0"/>
    <w:rsid w:val="005205F9"/>
    <w:rsid w:val="00554BE2"/>
    <w:rsid w:val="00650244"/>
    <w:rsid w:val="006A630B"/>
    <w:rsid w:val="006B0ECC"/>
    <w:rsid w:val="006F05F0"/>
    <w:rsid w:val="007766A4"/>
    <w:rsid w:val="007A073B"/>
    <w:rsid w:val="00821C02"/>
    <w:rsid w:val="009342B5"/>
    <w:rsid w:val="009C59D6"/>
    <w:rsid w:val="00A67D1C"/>
    <w:rsid w:val="00B2373B"/>
    <w:rsid w:val="00B75599"/>
    <w:rsid w:val="00B93B76"/>
    <w:rsid w:val="00C40682"/>
    <w:rsid w:val="00CE5AF5"/>
    <w:rsid w:val="00D75155"/>
    <w:rsid w:val="00DB4C27"/>
    <w:rsid w:val="00DD6F85"/>
    <w:rsid w:val="00E02DD4"/>
    <w:rsid w:val="00E21A24"/>
    <w:rsid w:val="00E41D5E"/>
    <w:rsid w:val="00EC5333"/>
    <w:rsid w:val="00FA4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DD6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F047C-A787-470C-B528-3DC95194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16</cp:revision>
  <dcterms:created xsi:type="dcterms:W3CDTF">2016-10-20T16:45:00Z</dcterms:created>
  <dcterms:modified xsi:type="dcterms:W3CDTF">2016-11-22T05:48:00Z</dcterms:modified>
</cp:coreProperties>
</file>